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58783A0" w14:textId="77777777" w:rsidR="005F5419" w:rsidRPr="0070462E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bywateli rosyjskich  osób fizycznych </w:t>
      </w:r>
      <w:r w:rsidRPr="005F5419">
        <w:rPr>
          <w:rFonts w:cstheme="minorHAnsi"/>
          <w:szCs w:val="18"/>
          <w:highlight w:val="lightGray"/>
          <w:lang w:eastAsia="pl-PL"/>
        </w:rPr>
        <w:t>zamieszkałych w Rosji</w:t>
      </w:r>
      <w:r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7AD169FD" w14:textId="77777777" w:rsidR="005F5419" w:rsidRPr="0070462E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Pr="005F5419">
        <w:rPr>
          <w:rFonts w:cstheme="minorHAnsi"/>
          <w:szCs w:val="18"/>
          <w:highlight w:val="lightGray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</w:t>
      </w:r>
      <w:r w:rsidRPr="005F5419">
        <w:rPr>
          <w:rFonts w:cstheme="minorHAnsi"/>
          <w:szCs w:val="18"/>
          <w:highlight w:val="lightGray"/>
          <w:lang w:eastAsia="pl-PL"/>
        </w:rPr>
        <w:t>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4EDBF915" w14:textId="1E4C1399" w:rsidR="005F5419" w:rsidRPr="0070462E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Pr="005F5419">
        <w:rPr>
          <w:rFonts w:cstheme="minorHAnsi"/>
          <w:szCs w:val="18"/>
          <w:highlight w:val="lightGray"/>
          <w:lang w:eastAsia="pl-PL"/>
        </w:rPr>
        <w:t>osoby fizycznej lub prawnej</w:t>
      </w:r>
      <w:r w:rsidRPr="0070462E">
        <w:rPr>
          <w:rFonts w:cstheme="minorHAnsi"/>
          <w:szCs w:val="18"/>
          <w:lang w:eastAsia="pl-PL"/>
        </w:rPr>
        <w:t>,</w:t>
      </w:r>
      <w:r>
        <w:rPr>
          <w:rFonts w:cstheme="minorHAnsi"/>
          <w:szCs w:val="18"/>
          <w:lang w:eastAsia="pl-PL"/>
        </w:rPr>
        <w:t xml:space="preserve"> podmiotu lub </w:t>
      </w:r>
      <w:r w:rsidRPr="005F5419">
        <w:rPr>
          <w:rFonts w:cstheme="minorHAnsi"/>
          <w:szCs w:val="18"/>
          <w:highlight w:val="lightGray"/>
          <w:lang w:eastAsia="pl-PL"/>
        </w:rPr>
        <w:t>organu</w:t>
      </w:r>
      <w:r>
        <w:rPr>
          <w:rFonts w:cstheme="minorHAnsi"/>
          <w:szCs w:val="18"/>
          <w:highlight w:val="lightGray"/>
          <w:lang w:eastAsia="pl-PL"/>
        </w:rPr>
        <w:t>,</w:t>
      </w:r>
      <w:r w:rsidRPr="005F5419">
        <w:rPr>
          <w:rFonts w:cstheme="minorHAnsi"/>
          <w:szCs w:val="18"/>
          <w:highlight w:val="lightGray"/>
          <w:lang w:eastAsia="pl-PL"/>
        </w:rPr>
        <w:t xml:space="preserve"> o których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67EF834D" w14:textId="77777777" w:rsidR="005F5419" w:rsidRPr="0070462E" w:rsidRDefault="005F5419" w:rsidP="005F5419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262F27D5" w14:textId="205A5BFC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22AACCF5" w14:textId="743EE8A6" w:rsidR="000A506D" w:rsidRPr="000A506D" w:rsidRDefault="000A506D" w:rsidP="002929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 xml:space="preserve">w okresie ostatnich 3 lat przed upływem terminu składania ofert, a jeżeli okres prowadzenia działalności jest krótszy – w tym okresie, zrealizowali minimum trzy dokumentacje projektowe odpowiadające swoim rodzajem projektom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67489380" w14:textId="48212164" w:rsidR="000A506D" w:rsidRPr="005F5419" w:rsidRDefault="000A506D" w:rsidP="005F5419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lastRenderedPageBreak/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48CADE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ppkt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777777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704DC3F8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</w:t>
      </w:r>
      <w:r w:rsidRPr="0070462E">
        <w:rPr>
          <w:rFonts w:eastAsia="Calibri" w:cstheme="minorHAnsi"/>
          <w:szCs w:val="18"/>
        </w:rPr>
        <w:lastRenderedPageBreak/>
        <w:t>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>orem wskazanym 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1E41DEB2" w14:textId="77777777" w:rsidR="002F2E3A" w:rsidRPr="002F2E3A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</w:p>
    <w:p w14:paraId="60090ADC" w14:textId="7553C391" w:rsidR="002F2E3A" w:rsidRPr="002F2E3A" w:rsidRDefault="002F2E3A" w:rsidP="002F2E3A">
      <w:pPr>
        <w:pStyle w:val="Akapitzlist"/>
        <w:numPr>
          <w:ilvl w:val="2"/>
          <w:numId w:val="21"/>
        </w:numPr>
        <w:ind w:left="993"/>
        <w:rPr>
          <w:rFonts w:eastAsia="Times New Roman" w:cstheme="minorHAnsi"/>
          <w:szCs w:val="18"/>
        </w:rPr>
      </w:pPr>
      <w:r w:rsidRPr="002F2E3A">
        <w:rPr>
          <w:rFonts w:eastAsia="Times New Roman" w:cstheme="minorHAnsi"/>
          <w:b/>
          <w:bCs/>
          <w:szCs w:val="18"/>
        </w:rPr>
        <w:t>Podpisany Formularz cenowy/Arkusz kalkulacyjny wg Załącznika nr 3.1 do SWZ</w:t>
      </w:r>
      <w:r w:rsidRPr="002F2E3A">
        <w:rPr>
          <w:rFonts w:eastAsia="Times New Roman" w:cstheme="minorHAnsi"/>
          <w:szCs w:val="18"/>
        </w:rPr>
        <w:t>.</w:t>
      </w:r>
    </w:p>
    <w:p w14:paraId="5B5E0D4D" w14:textId="68B5B732" w:rsidR="0070462E" w:rsidRPr="0070462E" w:rsidRDefault="0070462E" w:rsidP="002F2E3A">
      <w:pPr>
        <w:pStyle w:val="Tekstpodstawowy"/>
        <w:spacing w:line="24" w:lineRule="atLeast"/>
        <w:ind w:left="426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7CACE9E6" w14:textId="77777777" w:rsidR="000809AF" w:rsidRDefault="000809AF" w:rsidP="000809AF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003F681A" w14:textId="575AF063" w:rsidR="00DF4C03" w:rsidRPr="00DF4C03" w:rsidRDefault="00DF4C03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  <w:u w:val="single"/>
        </w:rPr>
      </w:pPr>
      <w:r w:rsidRPr="00DF4C03">
        <w:rPr>
          <w:rFonts w:cstheme="minorHAnsi"/>
          <w:szCs w:val="18"/>
          <w:u w:val="single"/>
        </w:rPr>
        <w:t>Potwierdzenie wniesienia wadium do Oferty powyżej</w:t>
      </w:r>
      <w:r w:rsidR="000809AF">
        <w:rPr>
          <w:rFonts w:cstheme="minorHAnsi"/>
          <w:szCs w:val="18"/>
          <w:u w:val="single"/>
        </w:rPr>
        <w:t xml:space="preserve"> –</w:t>
      </w:r>
      <w:r w:rsidR="000809AF" w:rsidRPr="000809AF">
        <w:rPr>
          <w:rFonts w:cstheme="minorHAnsi"/>
          <w:b/>
          <w:bCs/>
          <w:szCs w:val="18"/>
          <w:u w:val="single"/>
        </w:rPr>
        <w:t xml:space="preserve"> </w:t>
      </w:r>
      <w:r w:rsidR="00E42B1A">
        <w:rPr>
          <w:rFonts w:cstheme="minorHAnsi"/>
          <w:b/>
          <w:bCs/>
          <w:szCs w:val="18"/>
          <w:u w:val="single"/>
        </w:rPr>
        <w:t>nie dotyczy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CD1FACF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C5717A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1B0BF96" w:rsidR="00347E8D" w:rsidRPr="000809AF" w:rsidRDefault="00C5717A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809AF">
            <w:rPr>
              <w:rFonts w:asciiTheme="minorHAnsi" w:hAnsiTheme="minorHAnsi" w:cstheme="minorHAnsi"/>
              <w:sz w:val="14"/>
              <w:szCs w:val="14"/>
            </w:rPr>
            <w:t>POST/DYS/OLD/GZ/00</w:t>
          </w:r>
          <w:r w:rsidR="00E42B1A">
            <w:rPr>
              <w:rFonts w:asciiTheme="minorHAnsi" w:hAnsiTheme="minorHAnsi" w:cstheme="minorHAnsi"/>
              <w:sz w:val="14"/>
              <w:szCs w:val="14"/>
            </w:rPr>
            <w:t>145</w:t>
          </w:r>
          <w:r w:rsidRPr="000809AF">
            <w:rPr>
              <w:rFonts w:asciiTheme="minorHAnsi" w:hAnsiTheme="minorHAnsi" w:cstheme="minorHAnsi"/>
              <w:sz w:val="14"/>
              <w:szCs w:val="14"/>
            </w:rPr>
            <w:t xml:space="preserve">/2026 </w:t>
          </w:r>
        </w:p>
      </w:tc>
      <w:tc>
        <w:tcPr>
          <w:tcW w:w="977" w:type="dxa"/>
          <w:vAlign w:val="center"/>
        </w:tcPr>
        <w:p w14:paraId="3FED520E" w14:textId="72C65808" w:rsidR="00347E8D" w:rsidRPr="000809AF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0809AF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1E1375" w:rsidR="00347E8D" w:rsidRPr="000809AF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13E6B5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F2BD2"/>
    <w:multiLevelType w:val="multilevel"/>
    <w:tmpl w:val="C03C737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  <w:b/>
      </w:r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2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71666715">
    <w:abstractNumId w:val="19"/>
  </w:num>
  <w:num w:numId="2" w16cid:durableId="518349859">
    <w:abstractNumId w:val="7"/>
  </w:num>
  <w:num w:numId="3" w16cid:durableId="423653913">
    <w:abstractNumId w:val="13"/>
  </w:num>
  <w:num w:numId="4" w16cid:durableId="418986991">
    <w:abstractNumId w:val="21"/>
  </w:num>
  <w:num w:numId="5" w16cid:durableId="1847212747">
    <w:abstractNumId w:val="19"/>
  </w:num>
  <w:num w:numId="6" w16cid:durableId="179244753">
    <w:abstractNumId w:val="19"/>
  </w:num>
  <w:num w:numId="7" w16cid:durableId="97022291">
    <w:abstractNumId w:val="3"/>
  </w:num>
  <w:num w:numId="8" w16cid:durableId="302392427">
    <w:abstractNumId w:val="31"/>
  </w:num>
  <w:num w:numId="9" w16cid:durableId="1398015656">
    <w:abstractNumId w:val="17"/>
  </w:num>
  <w:num w:numId="10" w16cid:durableId="2090035291">
    <w:abstractNumId w:val="4"/>
  </w:num>
  <w:num w:numId="11" w16cid:durableId="1955167176">
    <w:abstractNumId w:val="14"/>
  </w:num>
  <w:num w:numId="12" w16cid:durableId="575435411">
    <w:abstractNumId w:val="12"/>
  </w:num>
  <w:num w:numId="13" w16cid:durableId="2138717008">
    <w:abstractNumId w:val="30"/>
  </w:num>
  <w:num w:numId="14" w16cid:durableId="2123188500">
    <w:abstractNumId w:val="23"/>
  </w:num>
  <w:num w:numId="15" w16cid:durableId="761880137">
    <w:abstractNumId w:val="16"/>
  </w:num>
  <w:num w:numId="16" w16cid:durableId="564488485">
    <w:abstractNumId w:val="10"/>
  </w:num>
  <w:num w:numId="17" w16cid:durableId="1706373144">
    <w:abstractNumId w:val="5"/>
  </w:num>
  <w:num w:numId="18" w16cid:durableId="2018722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2571524">
    <w:abstractNumId w:val="0"/>
  </w:num>
  <w:num w:numId="20" w16cid:durableId="1995598892">
    <w:abstractNumId w:val="32"/>
  </w:num>
  <w:num w:numId="21" w16cid:durableId="1202328145">
    <w:abstractNumId w:val="1"/>
  </w:num>
  <w:num w:numId="22" w16cid:durableId="2094012896">
    <w:abstractNumId w:val="15"/>
  </w:num>
  <w:num w:numId="23" w16cid:durableId="5642084">
    <w:abstractNumId w:val="11"/>
  </w:num>
  <w:num w:numId="24" w16cid:durableId="1116408192">
    <w:abstractNumId w:val="22"/>
  </w:num>
  <w:num w:numId="25" w16cid:durableId="66419383">
    <w:abstractNumId w:val="28"/>
  </w:num>
  <w:num w:numId="26" w16cid:durableId="1711806734">
    <w:abstractNumId w:val="2"/>
  </w:num>
  <w:num w:numId="27" w16cid:durableId="1265963154">
    <w:abstractNumId w:val="27"/>
  </w:num>
  <w:num w:numId="28" w16cid:durableId="1660425132">
    <w:abstractNumId w:val="25"/>
  </w:num>
  <w:num w:numId="29" w16cid:durableId="887229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870365">
    <w:abstractNumId w:val="20"/>
  </w:num>
  <w:num w:numId="31" w16cid:durableId="1653484285">
    <w:abstractNumId w:val="18"/>
  </w:num>
  <w:num w:numId="32" w16cid:durableId="7429455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37699449">
    <w:abstractNumId w:val="29"/>
  </w:num>
  <w:num w:numId="34" w16cid:durableId="1448433073">
    <w:abstractNumId w:val="9"/>
  </w:num>
  <w:num w:numId="35" w16cid:durableId="938752759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143B"/>
    <w:rsid w:val="0004777B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809AF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A5800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257"/>
    <w:rsid w:val="00230C1C"/>
    <w:rsid w:val="00231E0A"/>
    <w:rsid w:val="0024291C"/>
    <w:rsid w:val="0025217C"/>
    <w:rsid w:val="00257F22"/>
    <w:rsid w:val="00264A06"/>
    <w:rsid w:val="00265B9D"/>
    <w:rsid w:val="0026648A"/>
    <w:rsid w:val="00270752"/>
    <w:rsid w:val="002724AF"/>
    <w:rsid w:val="002743D5"/>
    <w:rsid w:val="002768AC"/>
    <w:rsid w:val="0029296D"/>
    <w:rsid w:val="00296A65"/>
    <w:rsid w:val="002A3129"/>
    <w:rsid w:val="002A48F7"/>
    <w:rsid w:val="002B5C62"/>
    <w:rsid w:val="002C470F"/>
    <w:rsid w:val="002D4CAD"/>
    <w:rsid w:val="002F10CA"/>
    <w:rsid w:val="002F2E3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3C31"/>
    <w:rsid w:val="0040472A"/>
    <w:rsid w:val="00412E5B"/>
    <w:rsid w:val="00417B66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3CE5"/>
    <w:rsid w:val="00574D7E"/>
    <w:rsid w:val="00582CE9"/>
    <w:rsid w:val="005875F0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3D1"/>
    <w:rsid w:val="005D74EB"/>
    <w:rsid w:val="005E4AA3"/>
    <w:rsid w:val="005E79E5"/>
    <w:rsid w:val="005F5419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11B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02B2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0B6B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C50"/>
    <w:rsid w:val="009A52EC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6C09"/>
    <w:rsid w:val="00A370AB"/>
    <w:rsid w:val="00A3753A"/>
    <w:rsid w:val="00A43299"/>
    <w:rsid w:val="00A43EF5"/>
    <w:rsid w:val="00A467CA"/>
    <w:rsid w:val="00A57E04"/>
    <w:rsid w:val="00A6049B"/>
    <w:rsid w:val="00A62B4C"/>
    <w:rsid w:val="00A70F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A6FBA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FB3"/>
    <w:rsid w:val="00C53A22"/>
    <w:rsid w:val="00C5717A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22351"/>
    <w:rsid w:val="00D516C1"/>
    <w:rsid w:val="00D6344F"/>
    <w:rsid w:val="00D7485B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DF4C03"/>
    <w:rsid w:val="00E12F47"/>
    <w:rsid w:val="00E16545"/>
    <w:rsid w:val="00E2123D"/>
    <w:rsid w:val="00E30B4B"/>
    <w:rsid w:val="00E33932"/>
    <w:rsid w:val="00E413AB"/>
    <w:rsid w:val="00E41451"/>
    <w:rsid w:val="00E42B1A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 - NOWE-DP.docx</dmsv2BaseFileName>
    <dmsv2BaseDisplayName xmlns="http://schemas.microsoft.com/sharepoint/v3">Załącznik nr 2 do SWZ - Warunki udziału w postepowaniu - NOWE-DP</dmsv2BaseDisplayName>
    <dmsv2SWPP2ObjectNumber xmlns="http://schemas.microsoft.com/sharepoint/v3">POST/DYS/OLD/GZ/00145/2026                        </dmsv2SWPP2ObjectNumber>
    <dmsv2SWPP2SumMD5 xmlns="http://schemas.microsoft.com/sharepoint/v3">fe7574cf6548671df49ff83a0600f084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24154996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JEUP5JKVCYQC-1092029480-15366</_dlc_DocId>
    <_dlc_DocIdUrl xmlns="a19cb1c7-c5c7-46d4-85ae-d83685407bba">
      <Url>https://swpp2.dms.gkpge.pl/sites/41/_layouts/15/DocIdRedir.aspx?ID=JEUP5JKVCYQC-1092029480-15366</Url>
      <Description>JEUP5JKVCYQC-1092029480-15366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6995F-18BE-4C7E-90D1-01E58FE4117E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4B3621-9217-4B69-9962-547140CD850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17</TotalTime>
  <Pages>6</Pages>
  <Words>3566</Words>
  <Characters>21396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13</cp:revision>
  <cp:lastPrinted>2024-07-15T11:21:00Z</cp:lastPrinted>
  <dcterms:created xsi:type="dcterms:W3CDTF">2025-10-13T11:10:00Z</dcterms:created>
  <dcterms:modified xsi:type="dcterms:W3CDTF">2026-01-20T10:20:00Z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ef412dc0-1370-4c41-9dd1-6f6e944e2b8b</vt:lpwstr>
  </property>
</Properties>
</file>